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69D" w:rsidRPr="00B8336B" w:rsidRDefault="009D169D" w:rsidP="009D169D">
      <w:pPr>
        <w:jc w:val="left"/>
        <w:rPr>
          <w:rFonts w:ascii="仿宋" w:eastAsia="仿宋" w:hAnsi="仿宋" w:cs="Times New Roman"/>
          <w:sz w:val="32"/>
          <w:szCs w:val="32"/>
        </w:rPr>
      </w:pPr>
      <w:r w:rsidRPr="00B8336B">
        <w:rPr>
          <w:rFonts w:ascii="仿宋" w:eastAsia="仿宋" w:hAnsi="仿宋" w:cs="Times New Roman" w:hint="eastAsia"/>
          <w:sz w:val="32"/>
          <w:szCs w:val="32"/>
        </w:rPr>
        <w:t>附件4</w:t>
      </w:r>
      <w:r w:rsidR="00B8336B" w:rsidRPr="00B8336B">
        <w:rPr>
          <w:rFonts w:ascii="仿宋" w:eastAsia="仿宋" w:hAnsi="仿宋" w:cs="Times New Roman" w:hint="eastAsia"/>
          <w:sz w:val="32"/>
          <w:szCs w:val="32"/>
        </w:rPr>
        <w:t>:</w:t>
      </w:r>
    </w:p>
    <w:p w:rsidR="009D169D" w:rsidRPr="00B8336B" w:rsidRDefault="009D169D" w:rsidP="00CF593B">
      <w:pPr>
        <w:snapToGrid w:val="0"/>
        <w:spacing w:beforeLines="50" w:before="156"/>
        <w:jc w:val="center"/>
        <w:rPr>
          <w:rFonts w:ascii="华文中宋" w:eastAsia="华文中宋" w:hAnsi="华文中宋" w:cs="Times New Roman"/>
          <w:b/>
          <w:color w:val="000000"/>
          <w:sz w:val="44"/>
          <w:szCs w:val="44"/>
        </w:rPr>
      </w:pPr>
      <w:bookmarkStart w:id="0" w:name="_GoBack"/>
      <w:r w:rsidRPr="00B8336B">
        <w:rPr>
          <w:rFonts w:ascii="华文中宋" w:eastAsia="华文中宋" w:hAnsi="华文中宋" w:cs="Times New Roman" w:hint="eastAsia"/>
          <w:b/>
          <w:color w:val="000000"/>
          <w:sz w:val="44"/>
          <w:szCs w:val="44"/>
        </w:rPr>
        <w:t>资产评估执业准则——资产评估档案</w:t>
      </w:r>
    </w:p>
    <w:p w:rsidR="009D169D" w:rsidRPr="00B8336B" w:rsidRDefault="009D169D" w:rsidP="00CF593B">
      <w:pPr>
        <w:snapToGrid w:val="0"/>
        <w:spacing w:afterLines="50" w:after="156"/>
        <w:jc w:val="center"/>
        <w:rPr>
          <w:rFonts w:ascii="黑体" w:eastAsia="黑体" w:hAnsi="黑体" w:cs="Times New Roman"/>
          <w:b/>
          <w:sz w:val="32"/>
          <w:szCs w:val="32"/>
        </w:rPr>
      </w:pPr>
      <w:r w:rsidRPr="00B8336B">
        <w:rPr>
          <w:rFonts w:ascii="华文中宋" w:eastAsia="华文中宋" w:hAnsi="华文中宋" w:cs="Times New Roman" w:hint="eastAsia"/>
          <w:b/>
          <w:color w:val="000000"/>
          <w:sz w:val="44"/>
          <w:szCs w:val="44"/>
        </w:rPr>
        <w:t>（修订征求意见稿）</w:t>
      </w:r>
    </w:p>
    <w:bookmarkEnd w:id="0"/>
    <w:p w:rsidR="009D169D" w:rsidRPr="009D169D" w:rsidRDefault="009D169D" w:rsidP="00CF593B">
      <w:pPr>
        <w:spacing w:line="360" w:lineRule="auto"/>
        <w:jc w:val="center"/>
        <w:rPr>
          <w:rFonts w:ascii="黑体" w:eastAsia="黑体" w:hAnsi="黑体" w:cs="Times New Roman"/>
          <w:sz w:val="32"/>
          <w:szCs w:val="32"/>
        </w:rPr>
      </w:pPr>
      <w:r w:rsidRPr="009D169D">
        <w:rPr>
          <w:rFonts w:ascii="黑体" w:eastAsia="黑体" w:hAnsi="黑体" w:cs="Times New Roman" w:hint="eastAsia"/>
          <w:sz w:val="32"/>
          <w:szCs w:val="32"/>
        </w:rPr>
        <w:t>第一章 总则</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第一条</w:t>
      </w:r>
      <w:r w:rsidRPr="009D169D">
        <w:rPr>
          <w:rFonts w:ascii="仿宋_GB2312" w:eastAsia="仿宋_GB2312" w:hAnsi="Calibri" w:cs="Times New Roman" w:hint="eastAsia"/>
          <w:sz w:val="32"/>
          <w:szCs w:val="32"/>
        </w:rPr>
        <w:t xml:space="preserve"> 为规范资产评估档案的形成及管理行为，保护资产评估当事人合法权益和公共利益，根据《资产评估基本准则》制定本准则。</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第二条</w:t>
      </w:r>
      <w:r w:rsidRPr="009D169D">
        <w:rPr>
          <w:rFonts w:ascii="仿宋_GB2312" w:eastAsia="仿宋_GB2312" w:hAnsi="Calibri" w:cs="Times New Roman" w:hint="eastAsia"/>
          <w:sz w:val="32"/>
          <w:szCs w:val="32"/>
        </w:rPr>
        <w:t xml:space="preserve"> 本准则所称资产评估档案，是指资产评估机构开展资产评估业务形成的，反映资产评估程序实施情况、支持评估结论的工作底稿、资产评估报告及其他相关资料。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纳入资产评估档案的资产评估报告应当包括初步资产评估报告和正式资产评估报告。</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第三条</w:t>
      </w:r>
      <w:r w:rsidRPr="009D169D">
        <w:rPr>
          <w:rFonts w:ascii="仿宋_GB2312" w:eastAsia="仿宋_GB2312" w:hAnsi="Calibri" w:cs="Times New Roman" w:hint="eastAsia"/>
          <w:sz w:val="32"/>
          <w:szCs w:val="32"/>
        </w:rPr>
        <w:t xml:space="preserve"> 执行资产评估业务，应当遵守本准则。</w:t>
      </w:r>
    </w:p>
    <w:p w:rsidR="009D169D" w:rsidRPr="009D169D" w:rsidRDefault="009D169D" w:rsidP="00CF593B">
      <w:pPr>
        <w:spacing w:line="360" w:lineRule="auto"/>
        <w:jc w:val="center"/>
        <w:rPr>
          <w:rFonts w:ascii="黑体" w:eastAsia="黑体" w:hAnsi="黑体" w:cs="Times New Roman"/>
          <w:sz w:val="32"/>
          <w:szCs w:val="32"/>
        </w:rPr>
      </w:pPr>
      <w:r w:rsidRPr="009D169D">
        <w:rPr>
          <w:rFonts w:ascii="黑体" w:eastAsia="黑体" w:hAnsi="黑体" w:cs="Times New Roman" w:hint="eastAsia"/>
          <w:sz w:val="32"/>
          <w:szCs w:val="32"/>
        </w:rPr>
        <w:t>第二章 工作底稿的编制</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第四条</w:t>
      </w:r>
      <w:r w:rsidRPr="009D169D">
        <w:rPr>
          <w:rFonts w:ascii="仿宋_GB2312" w:eastAsia="仿宋_GB2312" w:hAnsi="Calibri" w:cs="Times New Roman" w:hint="eastAsia"/>
          <w:sz w:val="32"/>
          <w:szCs w:val="32"/>
        </w:rPr>
        <w:t xml:space="preserve"> 执行资产评估业务，应当遵守法律、行政法规和资产评估准则，编制工作底稿。</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第五条</w:t>
      </w:r>
      <w:r w:rsidRPr="009D169D">
        <w:rPr>
          <w:rFonts w:ascii="仿宋_GB2312" w:eastAsia="仿宋_GB2312" w:hAnsi="Calibri" w:cs="Times New Roman" w:hint="eastAsia"/>
          <w:sz w:val="32"/>
          <w:szCs w:val="32"/>
        </w:rPr>
        <w:t xml:space="preserve"> 工作底稿应当反映资产评估程序实施情况，支持评估结论。</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第六条</w:t>
      </w:r>
      <w:r w:rsidRPr="009D169D">
        <w:rPr>
          <w:rFonts w:ascii="仿宋_GB2312" w:eastAsia="仿宋_GB2312" w:hAnsi="Calibri" w:cs="Times New Roman" w:hint="eastAsia"/>
          <w:sz w:val="32"/>
          <w:szCs w:val="32"/>
        </w:rPr>
        <w:t xml:space="preserve"> 工作底稿应当真实完整、重点突出、记录清晰。资产评估机构及其资产评估专业人员可以根据资产评估业务具体情况，合理确定工作底稿的繁简程度。</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lastRenderedPageBreak/>
        <w:t>第七条</w:t>
      </w:r>
      <w:r w:rsidRPr="009D169D">
        <w:rPr>
          <w:rFonts w:ascii="仿宋_GB2312" w:eastAsia="仿宋_GB2312" w:hAnsi="Calibri" w:cs="Times New Roman" w:hint="eastAsia"/>
          <w:sz w:val="32"/>
          <w:szCs w:val="32"/>
        </w:rPr>
        <w:t xml:space="preserve"> 工作底稿可以是纸质文档、电子文档或者其他介质形式的文档， 资产评估机构及其资产评估专业人员应当根据资产评估业务具体情况谨慎选择工作底稿的形式。</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第八条</w:t>
      </w:r>
      <w:r w:rsidRPr="009D169D">
        <w:rPr>
          <w:rFonts w:ascii="仿宋_GB2312" w:eastAsia="仿宋_GB2312" w:hAnsi="Calibri" w:cs="Times New Roman" w:hint="eastAsia"/>
          <w:sz w:val="32"/>
          <w:szCs w:val="32"/>
        </w:rPr>
        <w:t xml:space="preserve"> 工作底稿通常分为管理类工作底稿和操作类工作底稿。</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管理类工作底稿是指在执行资产评估业务过程中，为受理、计划、控制和管理资产评估业务所形成的工作记录及相关资料。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操作类工作底稿是指在履行现场调查、收集评估资料和评定估算程序时所形成的工作记录及相关资料。</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第九条</w:t>
      </w:r>
      <w:r w:rsidRPr="009D169D">
        <w:rPr>
          <w:rFonts w:ascii="仿宋_GB2312" w:eastAsia="仿宋_GB2312" w:hAnsi="Calibri" w:cs="Times New Roman" w:hint="eastAsia"/>
          <w:sz w:val="32"/>
          <w:szCs w:val="32"/>
        </w:rPr>
        <w:t xml:space="preserve"> 管理类工作底稿通常包括以下内容: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（一）资产评估业务基本事项的记录；</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（二）资产评估委托合同；</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（三）资产评估计划；</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（四）资产评估业务执行过程中重大问题处理记录；</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（五）资产评估报告的审核意见。</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第十条</w:t>
      </w:r>
      <w:r w:rsidRPr="009D169D">
        <w:rPr>
          <w:rFonts w:ascii="仿宋_GB2312" w:eastAsia="仿宋_GB2312" w:hAnsi="Calibri" w:cs="Times New Roman" w:hint="eastAsia"/>
          <w:sz w:val="32"/>
          <w:szCs w:val="32"/>
        </w:rPr>
        <w:t xml:space="preserve"> 操作类工作底稿的内容因评估目的、评估对象和评估方法等不同而有所差异，通常包括以下内容：</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（一）现场调查记录与相关资料，通常包括：</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1.委托人或者其他相关当事人提供的资料，如：资产评估明细表，评估对象的权属证明资料，与评估业务相关的历史、预测、财务、审计等资料，以及相关说明、证明和承诺等；</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2.现场勘查记录、</w:t>
      </w:r>
      <w:proofErr w:type="gramStart"/>
      <w:r w:rsidRPr="009D169D">
        <w:rPr>
          <w:rFonts w:ascii="仿宋_GB2312" w:eastAsia="仿宋_GB2312" w:hAnsi="Calibri" w:cs="Times New Roman" w:hint="eastAsia"/>
          <w:sz w:val="32"/>
          <w:szCs w:val="32"/>
        </w:rPr>
        <w:t>函证记录</w:t>
      </w:r>
      <w:proofErr w:type="gramEnd"/>
      <w:r w:rsidRPr="009D169D">
        <w:rPr>
          <w:rFonts w:ascii="仿宋_GB2312" w:eastAsia="仿宋_GB2312" w:hAnsi="Calibri" w:cs="Times New Roman" w:hint="eastAsia"/>
          <w:sz w:val="32"/>
          <w:szCs w:val="32"/>
        </w:rPr>
        <w:t>等；</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lastRenderedPageBreak/>
        <w:t>3.其他相关资料。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（二）收集的评估资料，通常包括：市场调查及数据分析资料，询价记录，其他专家鉴定及专业人士报告，其他相关资料。</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（三）评定估算过程记录，通常包括：重要参数的选取和形成过程记录，价值分析、计算、判断过程记录，评估结论形成过程记录，与委托方沟通记录，其他相关资料。</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第十一条</w:t>
      </w:r>
      <w:r w:rsidRPr="009D169D">
        <w:rPr>
          <w:rFonts w:ascii="仿宋_GB2312" w:eastAsia="仿宋_GB2312" w:hAnsi="Calibri" w:cs="Times New Roman" w:hint="eastAsia"/>
          <w:sz w:val="32"/>
          <w:szCs w:val="32"/>
        </w:rPr>
        <w:t xml:space="preserve"> 资产评估专业人员收集委托人和其他相关当事人提供的资产评估明细表及其他重要资料作为工作底稿，应当由提供方对相关资料进行确认，确认方式包括签字、盖章或者法律允许的其他方式。</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第十二条</w:t>
      </w:r>
      <w:r w:rsidRPr="009D169D">
        <w:rPr>
          <w:rFonts w:ascii="仿宋_GB2312" w:eastAsia="仿宋_GB2312" w:hAnsi="Calibri" w:cs="Times New Roman" w:hint="eastAsia"/>
          <w:sz w:val="32"/>
          <w:szCs w:val="32"/>
        </w:rPr>
        <w:t xml:space="preserve"> 工作底稿中应当反映内部审核过程。</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第十三条</w:t>
      </w:r>
      <w:r w:rsidRPr="009D169D">
        <w:rPr>
          <w:rFonts w:ascii="仿宋_GB2312" w:eastAsia="仿宋_GB2312" w:hAnsi="Calibri" w:cs="Times New Roman" w:hint="eastAsia"/>
          <w:sz w:val="32"/>
          <w:szCs w:val="32"/>
        </w:rPr>
        <w:t xml:space="preserve"> 资产评估专业人员应当根据资产评估业务特点和工作底稿类别，编制工作底稿目录，建立必要的索引号，以反映工作底稿间的勾</w:t>
      </w:r>
      <w:proofErr w:type="gramStart"/>
      <w:r w:rsidRPr="009D169D">
        <w:rPr>
          <w:rFonts w:ascii="仿宋_GB2312" w:eastAsia="仿宋_GB2312" w:hAnsi="Calibri" w:cs="Times New Roman" w:hint="eastAsia"/>
          <w:sz w:val="32"/>
          <w:szCs w:val="32"/>
        </w:rPr>
        <w:t>稽</w:t>
      </w:r>
      <w:proofErr w:type="gramEnd"/>
      <w:r w:rsidRPr="009D169D">
        <w:rPr>
          <w:rFonts w:ascii="仿宋_GB2312" w:eastAsia="仿宋_GB2312" w:hAnsi="Calibri" w:cs="Times New Roman" w:hint="eastAsia"/>
          <w:sz w:val="32"/>
          <w:szCs w:val="32"/>
        </w:rPr>
        <w:t>关系。</w:t>
      </w:r>
    </w:p>
    <w:p w:rsidR="009D169D" w:rsidRPr="009D169D" w:rsidRDefault="009D169D" w:rsidP="00CF593B">
      <w:pPr>
        <w:spacing w:line="360" w:lineRule="auto"/>
        <w:jc w:val="center"/>
        <w:rPr>
          <w:rFonts w:ascii="黑体" w:eastAsia="黑体" w:hAnsi="黑体" w:cs="Times New Roman"/>
          <w:sz w:val="32"/>
          <w:szCs w:val="32"/>
        </w:rPr>
      </w:pPr>
      <w:r w:rsidRPr="009D169D">
        <w:rPr>
          <w:rFonts w:ascii="黑体" w:eastAsia="黑体" w:hAnsi="黑体" w:cs="Times New Roman" w:hint="eastAsia"/>
          <w:sz w:val="32"/>
          <w:szCs w:val="32"/>
        </w:rPr>
        <w:t>第三章 资产评估档案的归集和管理</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第十四条</w:t>
      </w:r>
      <w:r w:rsidRPr="009D169D">
        <w:rPr>
          <w:rFonts w:ascii="仿宋_GB2312" w:eastAsia="仿宋_GB2312" w:hAnsi="Calibri" w:cs="Times New Roman" w:hint="eastAsia"/>
          <w:sz w:val="32"/>
        </w:rPr>
        <w:t xml:space="preserve"> 资产评估专业人员通常应当在资产评估报告日后 90 日内将工作底稿、资产评估报告</w:t>
      </w:r>
      <w:r w:rsidRPr="009D169D">
        <w:rPr>
          <w:rFonts w:ascii="仿宋_GB2312" w:eastAsia="仿宋_GB2312" w:hAnsi="Calibri" w:cs="Times New Roman" w:hint="eastAsia"/>
          <w:sz w:val="32"/>
          <w:szCs w:val="32"/>
        </w:rPr>
        <w:t>、评估明细表、评估说明</w:t>
      </w:r>
      <w:r w:rsidRPr="009D169D">
        <w:rPr>
          <w:rFonts w:ascii="仿宋_GB2312" w:eastAsia="仿宋_GB2312" w:hAnsi="Calibri" w:cs="Times New Roman" w:hint="eastAsia"/>
          <w:sz w:val="32"/>
        </w:rPr>
        <w:t>及其他相关资料归集形成资产评估档案，并由所在资产评估机构按照国家有关法律、行政法规和本准则规定妥善管理。重大或者特殊项目的归档时限不晚于评估结论使用有效期届满后 30 日。</w:t>
      </w:r>
    </w:p>
    <w:p w:rsidR="00AF75AE"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lastRenderedPageBreak/>
        <w:t>第十五条</w:t>
      </w:r>
      <w:r w:rsidRPr="009D169D">
        <w:rPr>
          <w:rFonts w:ascii="仿宋_GB2312" w:eastAsia="仿宋_GB2312" w:hAnsi="Calibri" w:cs="Times New Roman" w:hint="eastAsia"/>
          <w:sz w:val="32"/>
        </w:rPr>
        <w:t xml:space="preserve"> 资产评估档案</w:t>
      </w:r>
      <w:proofErr w:type="gramStart"/>
      <w:r w:rsidRPr="009D169D">
        <w:rPr>
          <w:rFonts w:ascii="仿宋_GB2312" w:eastAsia="仿宋_GB2312" w:hAnsi="Calibri" w:cs="Times New Roman" w:hint="eastAsia"/>
          <w:sz w:val="32"/>
        </w:rPr>
        <w:t>自资产</w:t>
      </w:r>
      <w:proofErr w:type="gramEnd"/>
      <w:r w:rsidRPr="009D169D">
        <w:rPr>
          <w:rFonts w:ascii="仿宋_GB2312" w:eastAsia="仿宋_GB2312" w:hAnsi="Calibri" w:cs="Times New Roman" w:hint="eastAsia"/>
          <w:sz w:val="32"/>
        </w:rPr>
        <w:t>评估报告日起保存期限不少于十五年；属于法定资产评估业务的，不少于三十年。</w:t>
      </w:r>
    </w:p>
    <w:p w:rsidR="009D169D" w:rsidRPr="009D169D" w:rsidRDefault="009D169D" w:rsidP="00AF75AE">
      <w:pPr>
        <w:spacing w:line="360" w:lineRule="auto"/>
        <w:ind w:firstLineChars="200" w:firstLine="609"/>
        <w:rPr>
          <w:rFonts w:ascii="仿宋_GB2312" w:eastAsia="仿宋_GB2312" w:hAnsi="Calibri" w:cs="Times New Roman"/>
          <w:sz w:val="32"/>
        </w:rPr>
      </w:pPr>
      <w:r w:rsidRPr="00AF75AE">
        <w:rPr>
          <w:rFonts w:ascii="仿宋_GB2312" w:eastAsia="仿宋_GB2312" w:hAnsi="Calibri" w:cs="Times New Roman" w:hint="eastAsia"/>
          <w:b/>
          <w:sz w:val="32"/>
        </w:rPr>
        <w:t>第十六条</w:t>
      </w:r>
      <w:r w:rsidRPr="009D169D">
        <w:rPr>
          <w:rFonts w:ascii="仿宋_GB2312" w:eastAsia="仿宋_GB2312" w:hAnsi="Calibri" w:cs="Times New Roman" w:hint="eastAsia"/>
          <w:sz w:val="32"/>
        </w:rPr>
        <w:t xml:space="preserve"> 对电子或者其他介质形式的资产评估档案，资产评估机构应当在法定保存期限内妥善保存。</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第十七条</w:t>
      </w:r>
      <w:r w:rsidRPr="009D169D">
        <w:rPr>
          <w:rFonts w:ascii="仿宋_GB2312" w:eastAsia="仿宋_GB2312" w:hAnsi="Calibri" w:cs="Times New Roman" w:hint="eastAsia"/>
          <w:sz w:val="32"/>
        </w:rPr>
        <w:t xml:space="preserve"> 资产评估机构不得对在规定保存期内的资产评估档案非法删改或者销毁。</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第十八条</w:t>
      </w:r>
      <w:r w:rsidRPr="009D169D">
        <w:rPr>
          <w:rFonts w:ascii="仿宋_GB2312" w:eastAsia="仿宋_GB2312" w:hAnsi="Calibri" w:cs="Times New Roman" w:hint="eastAsia"/>
          <w:sz w:val="32"/>
        </w:rPr>
        <w:t xml:space="preserve"> 资产评估档案的管理应当严格执行保密制度。除下列情形外， 资产评估档案不得对外提供：</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（一） 财政部门依法调阅的；</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（二） 资产评估协会依法依规调阅的；</w:t>
      </w:r>
    </w:p>
    <w:p w:rsidR="009D169D" w:rsidRPr="009D169D" w:rsidRDefault="009D169D" w:rsidP="00CF593B">
      <w:pPr>
        <w:spacing w:line="360" w:lineRule="auto"/>
        <w:ind w:firstLineChars="200" w:firstLine="607"/>
        <w:rPr>
          <w:rFonts w:ascii="Calibri" w:eastAsia="宋体" w:hAnsi="Calibri" w:cs="Times New Roman"/>
        </w:rPr>
      </w:pPr>
      <w:r w:rsidRPr="009D169D">
        <w:rPr>
          <w:rFonts w:ascii="仿宋_GB2312" w:eastAsia="仿宋_GB2312" w:hAnsi="Calibri" w:cs="Times New Roman" w:hint="eastAsia"/>
          <w:sz w:val="32"/>
        </w:rPr>
        <w:t>（三） 其他依法依规查阅的。</w:t>
      </w:r>
    </w:p>
    <w:p w:rsidR="009D169D" w:rsidRPr="009D169D" w:rsidRDefault="009D169D" w:rsidP="00CF593B">
      <w:pPr>
        <w:spacing w:line="360" w:lineRule="auto"/>
        <w:jc w:val="center"/>
        <w:rPr>
          <w:rFonts w:ascii="黑体" w:eastAsia="黑体" w:hAnsi="黑体" w:cs="Times New Roman"/>
          <w:sz w:val="32"/>
          <w:szCs w:val="32"/>
        </w:rPr>
      </w:pPr>
      <w:r w:rsidRPr="009D169D">
        <w:rPr>
          <w:rFonts w:ascii="黑体" w:eastAsia="黑体" w:hAnsi="黑体" w:cs="Times New Roman" w:hint="eastAsia"/>
          <w:sz w:val="32"/>
          <w:szCs w:val="32"/>
        </w:rPr>
        <w:t>第四章 附则</w:t>
      </w:r>
    </w:p>
    <w:p w:rsidR="009D169D" w:rsidRPr="001A5F52" w:rsidRDefault="009D169D" w:rsidP="001A5F52">
      <w:pPr>
        <w:widowControl/>
        <w:spacing w:line="360" w:lineRule="auto"/>
        <w:ind w:firstLineChars="200" w:firstLine="609"/>
        <w:jc w:val="left"/>
        <w:rPr>
          <w:rFonts w:ascii="仿宋_GB2312" w:eastAsia="仿宋_GB2312" w:hAnsi="Calibri" w:cs="Times New Roman"/>
          <w:sz w:val="32"/>
        </w:rPr>
      </w:pPr>
      <w:r w:rsidRPr="00CF593B">
        <w:rPr>
          <w:rFonts w:ascii="仿宋_GB2312" w:eastAsia="仿宋_GB2312" w:hAnsi="Calibri" w:cs="Times New Roman" w:hint="eastAsia"/>
          <w:b/>
          <w:sz w:val="32"/>
        </w:rPr>
        <w:t>第十九条</w:t>
      </w:r>
      <w:r w:rsidRPr="009D169D">
        <w:rPr>
          <w:rFonts w:ascii="仿宋_GB2312" w:eastAsia="仿宋_GB2312" w:hAnsi="Calibri" w:cs="Times New Roman" w:hint="eastAsia"/>
          <w:sz w:val="32"/>
        </w:rPr>
        <w:t xml:space="preserve"> 本准则自XXXX年XX月XX日起施行。</w:t>
      </w:r>
    </w:p>
    <w:sectPr w:rsidR="009D169D" w:rsidRPr="001A5F52" w:rsidSect="00B253E1">
      <w:footerReference w:type="even" r:id="rId8"/>
      <w:footerReference w:type="default" r:id="rId9"/>
      <w:pgSz w:w="11906" w:h="16838" w:code="9"/>
      <w:pgMar w:top="1440" w:right="1797" w:bottom="1440" w:left="1797" w:header="397" w:footer="397" w:gutter="0"/>
      <w:pgNumType w:fmt="numberInDash"/>
      <w:cols w:space="425"/>
      <w:docGrid w:type="linesAndChars" w:linePitch="312" w:charSpace="-34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9B9" w:rsidRDefault="008C69B9" w:rsidP="00516C00">
      <w:r>
        <w:separator/>
      </w:r>
    </w:p>
  </w:endnote>
  <w:endnote w:type="continuationSeparator" w:id="0">
    <w:p w:rsidR="008C69B9" w:rsidRDefault="008C69B9" w:rsidP="0051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775154"/>
      <w:docPartObj>
        <w:docPartGallery w:val="Page Numbers (Bottom of Page)"/>
        <w:docPartUnique/>
      </w:docPartObj>
    </w:sdtPr>
    <w:sdtEndPr>
      <w:rPr>
        <w:rFonts w:ascii="宋体" w:eastAsia="宋体" w:hAnsi="宋体"/>
        <w:sz w:val="28"/>
        <w:szCs w:val="28"/>
      </w:rPr>
    </w:sdtEndPr>
    <w:sdtContent>
      <w:p w:rsidR="00311E49" w:rsidRPr="00311E49" w:rsidRDefault="00311E49">
        <w:pPr>
          <w:pStyle w:val="a6"/>
          <w:rPr>
            <w:rFonts w:ascii="宋体" w:eastAsia="宋体" w:hAnsi="宋体"/>
            <w:sz w:val="28"/>
            <w:szCs w:val="28"/>
          </w:rPr>
        </w:pPr>
        <w:r w:rsidRPr="00311E49">
          <w:rPr>
            <w:rFonts w:ascii="宋体" w:eastAsia="宋体" w:hAnsi="宋体"/>
            <w:sz w:val="28"/>
            <w:szCs w:val="28"/>
          </w:rPr>
          <w:fldChar w:fldCharType="begin"/>
        </w:r>
        <w:r w:rsidRPr="00311E49">
          <w:rPr>
            <w:rFonts w:ascii="宋体" w:eastAsia="宋体" w:hAnsi="宋体"/>
            <w:sz w:val="28"/>
            <w:szCs w:val="28"/>
          </w:rPr>
          <w:instrText>PAGE   \* MERGEFORMAT</w:instrText>
        </w:r>
        <w:r w:rsidRPr="00311E49">
          <w:rPr>
            <w:rFonts w:ascii="宋体" w:eastAsia="宋体" w:hAnsi="宋体"/>
            <w:sz w:val="28"/>
            <w:szCs w:val="28"/>
          </w:rPr>
          <w:fldChar w:fldCharType="separate"/>
        </w:r>
        <w:r w:rsidR="00B8336B" w:rsidRPr="00B8336B">
          <w:rPr>
            <w:rFonts w:ascii="宋体" w:eastAsia="宋体" w:hAnsi="宋体"/>
            <w:noProof/>
            <w:sz w:val="28"/>
            <w:szCs w:val="28"/>
            <w:lang w:val="zh-CN"/>
          </w:rPr>
          <w:t>-</w:t>
        </w:r>
        <w:r w:rsidR="00B8336B">
          <w:rPr>
            <w:rFonts w:ascii="宋体" w:eastAsia="宋体" w:hAnsi="宋体"/>
            <w:noProof/>
            <w:sz w:val="28"/>
            <w:szCs w:val="28"/>
          </w:rPr>
          <w:t xml:space="preserve"> 4 -</w:t>
        </w:r>
        <w:r w:rsidRPr="00311E49">
          <w:rPr>
            <w:rFonts w:ascii="宋体" w:eastAsia="宋体" w:hAnsi="宋体"/>
            <w:sz w:val="28"/>
            <w:szCs w:val="28"/>
          </w:rPr>
          <w:fldChar w:fldCharType="end"/>
        </w:r>
      </w:p>
    </w:sdtContent>
  </w:sdt>
  <w:p w:rsidR="00311E49" w:rsidRDefault="00311E4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56675"/>
      <w:docPartObj>
        <w:docPartGallery w:val="Page Numbers (Bottom of Page)"/>
        <w:docPartUnique/>
      </w:docPartObj>
    </w:sdtPr>
    <w:sdtEndPr/>
    <w:sdtContent>
      <w:p w:rsidR="00516C00" w:rsidRDefault="00516C00">
        <w:pPr>
          <w:pStyle w:val="a6"/>
          <w:jc w:val="right"/>
        </w:pPr>
        <w:r w:rsidRPr="00516C00">
          <w:rPr>
            <w:rFonts w:ascii="宋体" w:eastAsia="宋体" w:hAnsi="宋体"/>
            <w:sz w:val="28"/>
            <w:szCs w:val="28"/>
          </w:rPr>
          <w:fldChar w:fldCharType="begin"/>
        </w:r>
        <w:r w:rsidRPr="00516C00">
          <w:rPr>
            <w:rFonts w:ascii="宋体" w:eastAsia="宋体" w:hAnsi="宋体"/>
            <w:sz w:val="28"/>
            <w:szCs w:val="28"/>
          </w:rPr>
          <w:instrText>PAGE   \* MERGEFORMAT</w:instrText>
        </w:r>
        <w:r w:rsidRPr="00516C00">
          <w:rPr>
            <w:rFonts w:ascii="宋体" w:eastAsia="宋体" w:hAnsi="宋体"/>
            <w:sz w:val="28"/>
            <w:szCs w:val="28"/>
          </w:rPr>
          <w:fldChar w:fldCharType="separate"/>
        </w:r>
        <w:r w:rsidR="00B8336B" w:rsidRPr="00B8336B">
          <w:rPr>
            <w:rFonts w:ascii="宋体" w:eastAsia="宋体" w:hAnsi="宋体"/>
            <w:noProof/>
            <w:sz w:val="28"/>
            <w:szCs w:val="28"/>
            <w:lang w:val="zh-CN"/>
          </w:rPr>
          <w:t>-</w:t>
        </w:r>
        <w:r w:rsidR="00B8336B">
          <w:rPr>
            <w:rFonts w:ascii="宋体" w:eastAsia="宋体" w:hAnsi="宋体"/>
            <w:noProof/>
            <w:sz w:val="28"/>
            <w:szCs w:val="28"/>
          </w:rPr>
          <w:t xml:space="preserve"> 1 -</w:t>
        </w:r>
        <w:r w:rsidRPr="00516C00">
          <w:rPr>
            <w:rFonts w:ascii="宋体" w:eastAsia="宋体" w:hAnsi="宋体"/>
            <w:sz w:val="28"/>
            <w:szCs w:val="28"/>
          </w:rPr>
          <w:fldChar w:fldCharType="end"/>
        </w:r>
      </w:p>
    </w:sdtContent>
  </w:sdt>
  <w:p w:rsidR="00516C00" w:rsidRDefault="00516C0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9B9" w:rsidRDefault="008C69B9" w:rsidP="00516C00">
      <w:r>
        <w:separator/>
      </w:r>
    </w:p>
  </w:footnote>
  <w:footnote w:type="continuationSeparator" w:id="0">
    <w:p w:rsidR="008C69B9" w:rsidRDefault="008C69B9" w:rsidP="00516C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93"/>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D83"/>
    <w:rsid w:val="00050CB7"/>
    <w:rsid w:val="00071F64"/>
    <w:rsid w:val="000B0742"/>
    <w:rsid w:val="000C4236"/>
    <w:rsid w:val="0011460E"/>
    <w:rsid w:val="0012592A"/>
    <w:rsid w:val="0019486B"/>
    <w:rsid w:val="001A5F52"/>
    <w:rsid w:val="0021710E"/>
    <w:rsid w:val="002565E3"/>
    <w:rsid w:val="00257C6F"/>
    <w:rsid w:val="00311E49"/>
    <w:rsid w:val="00321D31"/>
    <w:rsid w:val="00360586"/>
    <w:rsid w:val="003A2829"/>
    <w:rsid w:val="00463D83"/>
    <w:rsid w:val="00476DE1"/>
    <w:rsid w:val="004844FD"/>
    <w:rsid w:val="00516C00"/>
    <w:rsid w:val="00651A68"/>
    <w:rsid w:val="00654F73"/>
    <w:rsid w:val="006C10CB"/>
    <w:rsid w:val="00757705"/>
    <w:rsid w:val="007C13AB"/>
    <w:rsid w:val="007C6803"/>
    <w:rsid w:val="00855309"/>
    <w:rsid w:val="008B3FB2"/>
    <w:rsid w:val="008C69B9"/>
    <w:rsid w:val="009057F4"/>
    <w:rsid w:val="009C7263"/>
    <w:rsid w:val="009D169D"/>
    <w:rsid w:val="00A02461"/>
    <w:rsid w:val="00A660C3"/>
    <w:rsid w:val="00A7302A"/>
    <w:rsid w:val="00AF75AE"/>
    <w:rsid w:val="00B253E1"/>
    <w:rsid w:val="00B56916"/>
    <w:rsid w:val="00B63B25"/>
    <w:rsid w:val="00B8336B"/>
    <w:rsid w:val="00C903B7"/>
    <w:rsid w:val="00CA6B38"/>
    <w:rsid w:val="00CD0857"/>
    <w:rsid w:val="00CF593B"/>
    <w:rsid w:val="00D03397"/>
    <w:rsid w:val="00DB7759"/>
    <w:rsid w:val="00E15AD0"/>
    <w:rsid w:val="00E34C8B"/>
    <w:rsid w:val="00ED602B"/>
    <w:rsid w:val="00F43591"/>
    <w:rsid w:val="00F8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D83"/>
    <w:rPr>
      <w:color w:val="0563C1" w:themeColor="hyperlink"/>
      <w:u w:val="single"/>
    </w:rPr>
  </w:style>
  <w:style w:type="paragraph" w:styleId="a4">
    <w:name w:val="Date"/>
    <w:basedOn w:val="a"/>
    <w:next w:val="a"/>
    <w:link w:val="Char"/>
    <w:uiPriority w:val="99"/>
    <w:semiHidden/>
    <w:unhideWhenUsed/>
    <w:rsid w:val="00463D83"/>
    <w:pPr>
      <w:ind w:leftChars="2500" w:left="100"/>
    </w:pPr>
  </w:style>
  <w:style w:type="character" w:customStyle="1" w:styleId="Char">
    <w:name w:val="日期 Char"/>
    <w:basedOn w:val="a0"/>
    <w:link w:val="a4"/>
    <w:uiPriority w:val="99"/>
    <w:semiHidden/>
    <w:rsid w:val="00463D83"/>
  </w:style>
  <w:style w:type="paragraph" w:styleId="a5">
    <w:name w:val="header"/>
    <w:basedOn w:val="a"/>
    <w:link w:val="Char0"/>
    <w:uiPriority w:val="99"/>
    <w:unhideWhenUsed/>
    <w:rsid w:val="00516C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16C00"/>
    <w:rPr>
      <w:sz w:val="18"/>
      <w:szCs w:val="18"/>
    </w:rPr>
  </w:style>
  <w:style w:type="paragraph" w:styleId="a6">
    <w:name w:val="footer"/>
    <w:basedOn w:val="a"/>
    <w:link w:val="Char1"/>
    <w:uiPriority w:val="99"/>
    <w:unhideWhenUsed/>
    <w:rsid w:val="00516C00"/>
    <w:pPr>
      <w:tabs>
        <w:tab w:val="center" w:pos="4153"/>
        <w:tab w:val="right" w:pos="8306"/>
      </w:tabs>
      <w:snapToGrid w:val="0"/>
      <w:jc w:val="left"/>
    </w:pPr>
    <w:rPr>
      <w:sz w:val="18"/>
      <w:szCs w:val="18"/>
    </w:rPr>
  </w:style>
  <w:style w:type="character" w:customStyle="1" w:styleId="Char1">
    <w:name w:val="页脚 Char"/>
    <w:basedOn w:val="a0"/>
    <w:link w:val="a6"/>
    <w:uiPriority w:val="99"/>
    <w:rsid w:val="00516C00"/>
    <w:rPr>
      <w:sz w:val="18"/>
      <w:szCs w:val="18"/>
    </w:rPr>
  </w:style>
  <w:style w:type="paragraph" w:styleId="a7">
    <w:name w:val="Balloon Text"/>
    <w:basedOn w:val="a"/>
    <w:link w:val="Char2"/>
    <w:uiPriority w:val="99"/>
    <w:semiHidden/>
    <w:unhideWhenUsed/>
    <w:rsid w:val="00516C00"/>
    <w:rPr>
      <w:sz w:val="18"/>
      <w:szCs w:val="18"/>
    </w:rPr>
  </w:style>
  <w:style w:type="character" w:customStyle="1" w:styleId="Char2">
    <w:name w:val="批注框文本 Char"/>
    <w:basedOn w:val="a0"/>
    <w:link w:val="a7"/>
    <w:uiPriority w:val="99"/>
    <w:semiHidden/>
    <w:rsid w:val="00516C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D83"/>
    <w:rPr>
      <w:color w:val="0563C1" w:themeColor="hyperlink"/>
      <w:u w:val="single"/>
    </w:rPr>
  </w:style>
  <w:style w:type="paragraph" w:styleId="a4">
    <w:name w:val="Date"/>
    <w:basedOn w:val="a"/>
    <w:next w:val="a"/>
    <w:link w:val="Char"/>
    <w:uiPriority w:val="99"/>
    <w:semiHidden/>
    <w:unhideWhenUsed/>
    <w:rsid w:val="00463D83"/>
    <w:pPr>
      <w:ind w:leftChars="2500" w:left="100"/>
    </w:pPr>
  </w:style>
  <w:style w:type="character" w:customStyle="1" w:styleId="Char">
    <w:name w:val="日期 Char"/>
    <w:basedOn w:val="a0"/>
    <w:link w:val="a4"/>
    <w:uiPriority w:val="99"/>
    <w:semiHidden/>
    <w:rsid w:val="00463D83"/>
  </w:style>
  <w:style w:type="paragraph" w:styleId="a5">
    <w:name w:val="header"/>
    <w:basedOn w:val="a"/>
    <w:link w:val="Char0"/>
    <w:uiPriority w:val="99"/>
    <w:unhideWhenUsed/>
    <w:rsid w:val="00516C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16C00"/>
    <w:rPr>
      <w:sz w:val="18"/>
      <w:szCs w:val="18"/>
    </w:rPr>
  </w:style>
  <w:style w:type="paragraph" w:styleId="a6">
    <w:name w:val="footer"/>
    <w:basedOn w:val="a"/>
    <w:link w:val="Char1"/>
    <w:uiPriority w:val="99"/>
    <w:unhideWhenUsed/>
    <w:rsid w:val="00516C00"/>
    <w:pPr>
      <w:tabs>
        <w:tab w:val="center" w:pos="4153"/>
        <w:tab w:val="right" w:pos="8306"/>
      </w:tabs>
      <w:snapToGrid w:val="0"/>
      <w:jc w:val="left"/>
    </w:pPr>
    <w:rPr>
      <w:sz w:val="18"/>
      <w:szCs w:val="18"/>
    </w:rPr>
  </w:style>
  <w:style w:type="character" w:customStyle="1" w:styleId="Char1">
    <w:name w:val="页脚 Char"/>
    <w:basedOn w:val="a0"/>
    <w:link w:val="a6"/>
    <w:uiPriority w:val="99"/>
    <w:rsid w:val="00516C00"/>
    <w:rPr>
      <w:sz w:val="18"/>
      <w:szCs w:val="18"/>
    </w:rPr>
  </w:style>
  <w:style w:type="paragraph" w:styleId="a7">
    <w:name w:val="Balloon Text"/>
    <w:basedOn w:val="a"/>
    <w:link w:val="Char2"/>
    <w:uiPriority w:val="99"/>
    <w:semiHidden/>
    <w:unhideWhenUsed/>
    <w:rsid w:val="00516C00"/>
    <w:rPr>
      <w:sz w:val="18"/>
      <w:szCs w:val="18"/>
    </w:rPr>
  </w:style>
  <w:style w:type="character" w:customStyle="1" w:styleId="Char2">
    <w:name w:val="批注框文本 Char"/>
    <w:basedOn w:val="a0"/>
    <w:link w:val="a7"/>
    <w:uiPriority w:val="99"/>
    <w:semiHidden/>
    <w:rsid w:val="00516C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4B6FA-A64C-4953-ABE6-5A2286555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4</Pages>
  <Words>239</Words>
  <Characters>1364</Characters>
  <Application>Microsoft Office Word</Application>
  <DocSecurity>0</DocSecurity>
  <Lines>11</Lines>
  <Paragraphs>3</Paragraphs>
  <ScaleCrop>false</ScaleCrop>
  <Company/>
  <LinksUpToDate>false</LinksUpToDate>
  <CharactersWithSpaces>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侯亮亮</dc:creator>
  <cp:keywords/>
  <dc:description/>
  <cp:lastModifiedBy>蒋朝建</cp:lastModifiedBy>
  <cp:revision>23</cp:revision>
  <cp:lastPrinted>2018-05-09T07:42:00Z</cp:lastPrinted>
  <dcterms:created xsi:type="dcterms:W3CDTF">2018-01-18T10:42:00Z</dcterms:created>
  <dcterms:modified xsi:type="dcterms:W3CDTF">2018-05-14T03:16:00Z</dcterms:modified>
</cp:coreProperties>
</file>